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 xml:space="preserve">включение или отключение и на </w:t>
      </w:r>
      <w:r w:rsidR="00903DD5">
        <w:rPr>
          <w:rFonts w:ascii="Times New Roman" w:hAnsi="Times New Roman" w:cs="Times New Roman"/>
          <w:sz w:val="28"/>
          <w:szCs w:val="28"/>
        </w:rPr>
        <w:lastRenderedPageBreak/>
        <w:t>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353EA6">
        <w:rPr>
          <w:rFonts w:ascii="TimesNewRomanPSMT" w:hAnsi="TimesNewRomanPSMT" w:cs="TimesNewRomanPSMT"/>
          <w:sz w:val="28"/>
          <w:szCs w:val="28"/>
        </w:rPr>
        <w:t>4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  <w:bookmarkStart w:id="1" w:name="_GoBack"/>
      <w:bookmarkEnd w:id="1"/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353EA6">
        <w:rPr>
          <w:rFonts w:ascii="TimesNewRomanPSMT" w:hAnsi="TimesNewRomanPSMT" w:cs="TimesNewRomanPSMT"/>
          <w:sz w:val="28"/>
          <w:szCs w:val="28"/>
        </w:rPr>
        <w:t xml:space="preserve">4 </w:t>
      </w:r>
      <w:r w:rsidR="00757A22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>дут к удалению программы АВР 2.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lastRenderedPageBreak/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F2" w:rsidRDefault="00B53DF2" w:rsidP="003F452D">
      <w:pPr>
        <w:spacing w:after="0" w:line="240" w:lineRule="auto"/>
      </w:pPr>
      <w:r>
        <w:separator/>
      </w:r>
    </w:p>
  </w:endnote>
  <w:endnote w:type="continuationSeparator" w:id="0">
    <w:p w:rsidR="00B53DF2" w:rsidRDefault="00B53DF2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F2" w:rsidRDefault="00B53DF2" w:rsidP="003F452D">
      <w:pPr>
        <w:spacing w:after="0" w:line="240" w:lineRule="auto"/>
      </w:pPr>
      <w:r>
        <w:separator/>
      </w:r>
    </w:p>
  </w:footnote>
  <w:footnote w:type="continuationSeparator" w:id="0">
    <w:p w:rsidR="00B53DF2" w:rsidRDefault="00B53DF2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3EA6"/>
    <w:rsid w:val="0035627D"/>
    <w:rsid w:val="003649B5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D745B"/>
    <w:rsid w:val="007E20EE"/>
    <w:rsid w:val="00802A04"/>
    <w:rsid w:val="00807D51"/>
    <w:rsid w:val="00845A60"/>
    <w:rsid w:val="00856823"/>
    <w:rsid w:val="008B774F"/>
    <w:rsid w:val="008B7A5B"/>
    <w:rsid w:val="008E169D"/>
    <w:rsid w:val="00903DD5"/>
    <w:rsid w:val="00905AE8"/>
    <w:rsid w:val="00907DB4"/>
    <w:rsid w:val="00981B09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53DF2"/>
    <w:rsid w:val="00B71ACA"/>
    <w:rsid w:val="00B879C4"/>
    <w:rsid w:val="00BE6FDA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F655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3E52-7A43-46D2-97F2-BBF0500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2023-01-05T04:26:00Z</dcterms:created>
  <dcterms:modified xsi:type="dcterms:W3CDTF">2023-01-05T04:27:00Z</dcterms:modified>
</cp:coreProperties>
</file>