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C97D4F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6D27BA">
        <w:rPr>
          <w:rFonts w:ascii="Times New Roman" w:hAnsi="Times New Roman" w:cs="Times New Roman"/>
          <w:b/>
          <w:sz w:val="32"/>
          <w:szCs w:val="32"/>
        </w:rPr>
        <w:t xml:space="preserve"> на 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C97D4F">
        <w:rPr>
          <w:rFonts w:ascii="Times New Roman" w:hAnsi="Times New Roman" w:cs="Times New Roman"/>
          <w:sz w:val="28"/>
          <w:szCs w:val="28"/>
        </w:rPr>
        <w:t xml:space="preserve"> с ДГУ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КМ1</w:t>
      </w:r>
      <w:r w:rsidR="00F1332E">
        <w:rPr>
          <w:rFonts w:ascii="Times New Roman" w:hAnsi="Times New Roman" w:cs="Times New Roman"/>
          <w:sz w:val="28"/>
          <w:szCs w:val="28"/>
        </w:rPr>
        <w:t xml:space="preserve">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C0D46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DE6ACF" wp14:editId="49B4398D">
            <wp:extent cx="4528868" cy="3597460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481" cy="359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CF21D9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</w:t>
      </w:r>
      <w:r>
        <w:rPr>
          <w:rFonts w:ascii="TimesNewRomanPSMT" w:hAnsi="TimesNewRomanPSMT" w:cs="TimesNewRomanPSMT"/>
          <w:sz w:val="28"/>
          <w:szCs w:val="28"/>
        </w:rPr>
        <w:t>силовых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Default="00730470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(включено) </w:t>
      </w:r>
      <w:r w:rsidR="00CF21D9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CF21D9" w:rsidRPr="00F623C7" w:rsidRDefault="00CF21D9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C97D4F">
        <w:rPr>
          <w:rFonts w:ascii="Times New Roman" w:hAnsi="Times New Roman" w:cs="Times New Roman"/>
          <w:sz w:val="28"/>
          <w:szCs w:val="28"/>
        </w:rPr>
        <w:t xml:space="preserve"> с ДГУ</w:t>
      </w:r>
      <w:r w:rsidR="00CF21D9">
        <w:rPr>
          <w:rFonts w:ascii="Times New Roman" w:hAnsi="Times New Roman" w:cs="Times New Roman"/>
          <w:sz w:val="28"/>
          <w:szCs w:val="28"/>
        </w:rPr>
        <w:t xml:space="preserve"> на контакторах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proofErr w:type="gramStart"/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происходит</w:t>
            </w:r>
            <w:proofErr w:type="gramEnd"/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C97D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ДГУ</w:t>
      </w:r>
      <w:r w:rsidR="00CF21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контакторах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F21D9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CF21D9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CF21D9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CF21D9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</w:t>
      </w:r>
      <w:r w:rsidR="00C37BDA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распределительн</w:t>
      </w:r>
      <w:r w:rsidR="00C37BDA">
        <w:rPr>
          <w:rFonts w:ascii="TimesNewRomanPSMT" w:hAnsi="TimesNewRomanPSMT" w:cs="TimesNewRomanPSMT"/>
          <w:sz w:val="28"/>
          <w:szCs w:val="28"/>
        </w:rPr>
        <w:t>ого</w:t>
      </w:r>
      <w:r>
        <w:rPr>
          <w:rFonts w:ascii="TimesNewRomanPSMT" w:hAnsi="TimesNewRomanPSMT" w:cs="TimesNewRomanPSMT"/>
          <w:sz w:val="28"/>
          <w:szCs w:val="28"/>
        </w:rPr>
        <w:t xml:space="preserve"> шкаф</w:t>
      </w:r>
      <w:r w:rsidR="00C37BDA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установлены </w:t>
      </w:r>
      <w:r w:rsidR="00CF21D9">
        <w:rPr>
          <w:rFonts w:ascii="TimesNewRomanPSMT" w:hAnsi="TimesNewRomanPSMT" w:cs="TimesNewRomanPSMT"/>
          <w:sz w:val="28"/>
          <w:szCs w:val="28"/>
        </w:rPr>
        <w:t>двухпозиционные переключатели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523BDF" w:rsidRPr="00523BDF">
        <w:rPr>
          <w:rFonts w:ascii="TimesNewRomanPSMT" w:hAnsi="TimesNewRomanPSMT" w:cs="TimesNewRomanPSMT"/>
          <w:sz w:val="28"/>
          <w:szCs w:val="28"/>
        </w:rPr>
        <w:t xml:space="preserve"> </w:t>
      </w:r>
      <w:r w:rsidR="00523BDF">
        <w:rPr>
          <w:rFonts w:ascii="TimesNewRomanPSMT" w:hAnsi="TimesNewRomanPSMT" w:cs="TimesNewRomanPSMT"/>
          <w:sz w:val="28"/>
          <w:szCs w:val="28"/>
        </w:rPr>
        <w:t xml:space="preserve">и </w:t>
      </w:r>
      <w:r w:rsidR="00523BD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CF21D9">
        <w:rPr>
          <w:rFonts w:ascii="TimesNewRomanPSMT" w:hAnsi="TimesNewRomanPSMT" w:cs="TimesNewRomanPSMT"/>
          <w:sz w:val="28"/>
          <w:szCs w:val="28"/>
        </w:rPr>
        <w:t>переключателями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ых </w:t>
      </w:r>
      <w:r w:rsidR="008B774F">
        <w:rPr>
          <w:rFonts w:ascii="TimesNewRomanPSMT" w:hAnsi="TimesNewRomanPSMT" w:cs="TimesNewRomanPSMT"/>
          <w:sz w:val="28"/>
          <w:szCs w:val="28"/>
        </w:rPr>
        <w:t>аппарат</w:t>
      </w:r>
      <w:r w:rsidR="00CF21D9">
        <w:rPr>
          <w:rFonts w:ascii="TimesNewRomanPSMT" w:hAnsi="TimesNewRomanPSMT" w:cs="TimesNewRomanPSMT"/>
          <w:sz w:val="28"/>
          <w:szCs w:val="28"/>
        </w:rPr>
        <w:t>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 и КМ2 соответственно,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включенном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6421B" w:rsidRPr="0086421B" w:rsidRDefault="0086421B" w:rsidP="0086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(далее ДГУ) 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 w:rsidRPr="0086421B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</w:rPr>
        <w:t>4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2 </w:t>
      </w:r>
      <w:r w:rsidR="00CF21D9">
        <w:rPr>
          <w:rFonts w:ascii="Times New Roman" w:hAnsi="Times New Roman" w:cs="Times New Roman"/>
          <w:sz w:val="28"/>
          <w:szCs w:val="28"/>
        </w:rPr>
        <w:t>переключателями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2</w:t>
      </w:r>
      <w:r w:rsidR="00CF21D9">
        <w:rPr>
          <w:rFonts w:ascii="Times New Roman" w:hAnsi="Times New Roman" w:cs="Times New Roman"/>
          <w:sz w:val="28"/>
          <w:szCs w:val="28"/>
        </w:rPr>
        <w:t xml:space="preserve"> и </w:t>
      </w:r>
      <w:r w:rsidRPr="000E389E">
        <w:rPr>
          <w:rFonts w:ascii="Times New Roman" w:hAnsi="Times New Roman" w:cs="Times New Roman"/>
          <w:sz w:val="28"/>
          <w:szCs w:val="28"/>
        </w:rPr>
        <w:t>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 w:rsidR="00EC54D9">
        <w:rPr>
          <w:rFonts w:ascii="TimesNewRomanPSMT" w:hAnsi="TimesNewRomanPSMT" w:cs="TimesNewRomanPSMT"/>
          <w:sz w:val="28"/>
          <w:szCs w:val="28"/>
        </w:rPr>
        <w:t>;</w:t>
      </w:r>
    </w:p>
    <w:p w:rsidR="00FD59FF" w:rsidRPr="00FD59FF" w:rsidRDefault="00FD59F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 превышении заданного времени включения или отключения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FD504F">
        <w:rPr>
          <w:rFonts w:ascii="Times New Roman" w:hAnsi="Times New Roman" w:cs="Times New Roman"/>
          <w:sz w:val="28"/>
          <w:szCs w:val="28"/>
        </w:rPr>
        <w:t>включение или отключение</w:t>
      </w:r>
      <w:r w:rsidR="00EC54D9">
        <w:rPr>
          <w:rFonts w:ascii="Times New Roman" w:hAnsi="Times New Roman" w:cs="Times New Roman"/>
          <w:sz w:val="28"/>
          <w:szCs w:val="28"/>
        </w:rPr>
        <w:t xml:space="preserve"> и на дисплее контроллера выводится соответствующее сообщение, а также при этом блокируется работа</w:t>
      </w:r>
      <w:r w:rsidR="000A2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3789858"/>
      <w:r w:rsidR="000A22E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0A22E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A22E9" w:rsidRPr="00845A60">
        <w:rPr>
          <w:rFonts w:ascii="Times New Roman" w:hAnsi="Times New Roman" w:cs="Times New Roman"/>
          <w:sz w:val="28"/>
          <w:szCs w:val="28"/>
        </w:rPr>
        <w:t>-12</w:t>
      </w:r>
      <w:r w:rsidR="000A22E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A22E9" w:rsidRPr="00845A60">
        <w:rPr>
          <w:rFonts w:ascii="Times New Roman" w:hAnsi="Times New Roman" w:cs="Times New Roman"/>
          <w:sz w:val="28"/>
          <w:szCs w:val="28"/>
        </w:rPr>
        <w:t>-</w:t>
      </w:r>
      <w:r w:rsidR="000A22E9">
        <w:rPr>
          <w:rFonts w:ascii="Times New Roman" w:hAnsi="Times New Roman" w:cs="Times New Roman"/>
          <w:sz w:val="28"/>
          <w:szCs w:val="28"/>
          <w:lang w:val="en-US"/>
        </w:rPr>
        <w:t>R</w:t>
      </w:r>
      <w:bookmarkEnd w:id="0"/>
      <w:r w:rsidR="00EC54D9">
        <w:rPr>
          <w:rFonts w:ascii="Times New Roman" w:hAnsi="Times New Roman" w:cs="Times New Roman"/>
          <w:sz w:val="28"/>
          <w:szCs w:val="28"/>
        </w:rPr>
        <w:t xml:space="preserve"> в автоматическом режиме.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EC3F3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EC3F3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C3F39" w:rsidRPr="00845A60">
        <w:rPr>
          <w:rFonts w:ascii="Times New Roman" w:hAnsi="Times New Roman" w:cs="Times New Roman"/>
          <w:sz w:val="28"/>
          <w:szCs w:val="28"/>
        </w:rPr>
        <w:t>-12</w:t>
      </w:r>
      <w:r w:rsidR="00EC3F3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C3F39" w:rsidRPr="00845A60">
        <w:rPr>
          <w:rFonts w:ascii="Times New Roman" w:hAnsi="Times New Roman" w:cs="Times New Roman"/>
          <w:sz w:val="28"/>
          <w:szCs w:val="28"/>
        </w:rPr>
        <w:t>-</w:t>
      </w:r>
      <w:r w:rsidR="00EC3F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lastRenderedPageBreak/>
        <w:t>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5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EC54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выключателей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DB1BB6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>дут к удалению программы АВР 2.0</w:t>
      </w:r>
      <w:r w:rsidR="00C97D4F">
        <w:rPr>
          <w:rFonts w:ascii="TimesNewRomanPSMT" w:hAnsi="TimesNewRomanPSMT" w:cs="TimesNewRomanPSMT"/>
          <w:b/>
          <w:sz w:val="28"/>
          <w:szCs w:val="28"/>
        </w:rPr>
        <w:t xml:space="preserve"> с ДГУ</w:t>
      </w:r>
      <w:r w:rsidR="009E2C8E">
        <w:rPr>
          <w:rFonts w:ascii="TimesNewRomanPSMT" w:hAnsi="TimesNewRomanPSMT" w:cs="TimesNewRomanPSMT"/>
          <w:b/>
          <w:sz w:val="28"/>
          <w:szCs w:val="28"/>
        </w:rPr>
        <w:t xml:space="preserve"> на контакторах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623BCE" w:rsidRDefault="00623BCE" w:rsidP="007D212E">
      <w:pPr>
        <w:spacing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97D4F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9E2C8E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963"/>
        <w:gridCol w:w="6112"/>
        <w:gridCol w:w="1418"/>
      </w:tblGrid>
      <w:tr w:rsidR="007A3070" w:rsidRPr="007A3070" w:rsidTr="009E2C8E">
        <w:trPr>
          <w:trHeight w:val="714"/>
          <w:jc w:val="center"/>
        </w:trPr>
        <w:tc>
          <w:tcPr>
            <w:tcW w:w="1963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6112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2" w:type="dxa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41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6112" w:type="dxa"/>
            <w:vAlign w:val="center"/>
          </w:tcPr>
          <w:p w:rsidR="007A3070" w:rsidRPr="007A3070" w:rsidRDefault="009E2C8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9E2C8E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6112" w:type="dxa"/>
            <w:vAlign w:val="center"/>
          </w:tcPr>
          <w:p w:rsidR="009E2C8E" w:rsidRPr="0060554E" w:rsidRDefault="009E2C8E" w:rsidP="009E2C8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418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E8670C" w:rsidRPr="00CD3045" w:rsidRDefault="00E8670C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</w:t>
      </w:r>
      <w:r w:rsidR="00C97D4F">
        <w:rPr>
          <w:rFonts w:ascii="TimesNewRomanPSMT" w:hAnsi="TimesNewRomanPSMT" w:cs="TimesNewRomanPSMT"/>
          <w:sz w:val="24"/>
          <w:szCs w:val="24"/>
        </w:rPr>
        <w:t xml:space="preserve"> с ДГУ</w:t>
      </w:r>
      <w:bookmarkStart w:id="1" w:name="_GoBack"/>
      <w:bookmarkEnd w:id="1"/>
      <w:r>
        <w:rPr>
          <w:rFonts w:ascii="TimesNewRomanPSMT" w:hAnsi="TimesNewRomanPSMT" w:cs="TimesNewRomanPSMT"/>
          <w:sz w:val="24"/>
          <w:szCs w:val="24"/>
        </w:rPr>
        <w:t xml:space="preserve"> на </w:t>
      </w:r>
      <w:r w:rsidR="009E2C8E">
        <w:rPr>
          <w:rFonts w:ascii="TimesNewRomanPSMT" w:hAnsi="TimesNewRomanPSMT" w:cs="TimesNewRomanPSMT"/>
          <w:sz w:val="24"/>
          <w:szCs w:val="24"/>
        </w:rPr>
        <w:t>контакторах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235"/>
        <w:gridCol w:w="6807"/>
        <w:gridCol w:w="1395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>е</w:t>
            </w:r>
            <w:r w:rsidR="009E2C8E">
              <w:rPr>
                <w:rFonts w:ascii="TimesNewRomanPSMT" w:hAnsi="TimesNewRomanPSMT" w:cs="TimesNewRomanPSMT"/>
                <w:b/>
                <w:sz w:val="24"/>
                <w:szCs w:val="24"/>
              </w:rPr>
              <w:t>/Отключение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9E2C8E" w:rsidTr="007A7B95">
        <w:trPr>
          <w:trHeight w:val="327"/>
        </w:trPr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91" w:rsidRDefault="00867791" w:rsidP="003F452D">
      <w:pPr>
        <w:spacing w:after="0" w:line="240" w:lineRule="auto"/>
      </w:pPr>
      <w:r>
        <w:separator/>
      </w:r>
    </w:p>
  </w:endnote>
  <w:endnote w:type="continuationSeparator" w:id="0">
    <w:p w:rsidR="00867791" w:rsidRDefault="00867791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91" w:rsidRDefault="00867791" w:rsidP="003F452D">
      <w:pPr>
        <w:spacing w:after="0" w:line="240" w:lineRule="auto"/>
      </w:pPr>
      <w:r>
        <w:separator/>
      </w:r>
    </w:p>
  </w:footnote>
  <w:footnote w:type="continuationSeparator" w:id="0">
    <w:p w:rsidR="00867791" w:rsidRDefault="00867791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07142"/>
    <w:rsid w:val="000156B2"/>
    <w:rsid w:val="00023FB0"/>
    <w:rsid w:val="00040143"/>
    <w:rsid w:val="00053CF9"/>
    <w:rsid w:val="00085395"/>
    <w:rsid w:val="000A22E9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345A0C"/>
    <w:rsid w:val="0035627D"/>
    <w:rsid w:val="003649B5"/>
    <w:rsid w:val="003846EE"/>
    <w:rsid w:val="003968A9"/>
    <w:rsid w:val="003A4EC3"/>
    <w:rsid w:val="003B6FD8"/>
    <w:rsid w:val="003D10AC"/>
    <w:rsid w:val="003F3DE8"/>
    <w:rsid w:val="003F452D"/>
    <w:rsid w:val="00415C47"/>
    <w:rsid w:val="00423BD5"/>
    <w:rsid w:val="00433B48"/>
    <w:rsid w:val="004B6F56"/>
    <w:rsid w:val="004E19AA"/>
    <w:rsid w:val="00503372"/>
    <w:rsid w:val="00523BDF"/>
    <w:rsid w:val="00531C07"/>
    <w:rsid w:val="00565E37"/>
    <w:rsid w:val="00595AD1"/>
    <w:rsid w:val="005B63F9"/>
    <w:rsid w:val="005D712F"/>
    <w:rsid w:val="0060554E"/>
    <w:rsid w:val="00612180"/>
    <w:rsid w:val="00617C3D"/>
    <w:rsid w:val="00623BCE"/>
    <w:rsid w:val="00653EDC"/>
    <w:rsid w:val="0066501D"/>
    <w:rsid w:val="006708D4"/>
    <w:rsid w:val="00677B3E"/>
    <w:rsid w:val="006851B3"/>
    <w:rsid w:val="006B14AC"/>
    <w:rsid w:val="006C65F6"/>
    <w:rsid w:val="006D27BA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E20EE"/>
    <w:rsid w:val="00802A04"/>
    <w:rsid w:val="00807D51"/>
    <w:rsid w:val="00845A60"/>
    <w:rsid w:val="00856823"/>
    <w:rsid w:val="0086421B"/>
    <w:rsid w:val="00867791"/>
    <w:rsid w:val="008B774F"/>
    <w:rsid w:val="008B7A5B"/>
    <w:rsid w:val="008E169D"/>
    <w:rsid w:val="00905AE8"/>
    <w:rsid w:val="00981B09"/>
    <w:rsid w:val="009E2C8E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44884"/>
    <w:rsid w:val="00B71ACA"/>
    <w:rsid w:val="00B879C4"/>
    <w:rsid w:val="00C036E2"/>
    <w:rsid w:val="00C06902"/>
    <w:rsid w:val="00C06D85"/>
    <w:rsid w:val="00C37BDA"/>
    <w:rsid w:val="00C7103D"/>
    <w:rsid w:val="00C806E2"/>
    <w:rsid w:val="00C80BA4"/>
    <w:rsid w:val="00C97CDC"/>
    <w:rsid w:val="00C97D4F"/>
    <w:rsid w:val="00CA30EF"/>
    <w:rsid w:val="00CA6B54"/>
    <w:rsid w:val="00CD2CE5"/>
    <w:rsid w:val="00CD3045"/>
    <w:rsid w:val="00CE5A78"/>
    <w:rsid w:val="00CF21D9"/>
    <w:rsid w:val="00D2134D"/>
    <w:rsid w:val="00D65E08"/>
    <w:rsid w:val="00D96144"/>
    <w:rsid w:val="00DB1BB6"/>
    <w:rsid w:val="00DC0D46"/>
    <w:rsid w:val="00DC6D4C"/>
    <w:rsid w:val="00DE5B10"/>
    <w:rsid w:val="00DF7C40"/>
    <w:rsid w:val="00E8670C"/>
    <w:rsid w:val="00E9323E"/>
    <w:rsid w:val="00EC3F39"/>
    <w:rsid w:val="00EC54D9"/>
    <w:rsid w:val="00F06FE1"/>
    <w:rsid w:val="00F1332E"/>
    <w:rsid w:val="00F219E5"/>
    <w:rsid w:val="00F40EB0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EFF6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FB5D-8F4D-43CF-8459-558303E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5</cp:revision>
  <dcterms:created xsi:type="dcterms:W3CDTF">2023-01-05T05:47:00Z</dcterms:created>
  <dcterms:modified xsi:type="dcterms:W3CDTF">2023-01-05T05:57:00Z</dcterms:modified>
</cp:coreProperties>
</file>